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/>
          <w:bCs/>
          <w:color w:val="000000"/>
          <w:sz w:val="32"/>
          <w:szCs w:val="20"/>
        </w:rPr>
      </w:pPr>
      <w:r>
        <w:rPr>
          <w:rFonts w:ascii="Times New Roman" w:hAnsi="Times New Roman" w:eastAsia="黑体"/>
          <w:bCs/>
          <w:color w:val="000000"/>
          <w:sz w:val="32"/>
          <w:szCs w:val="20"/>
        </w:rPr>
        <w:t>附件1</w:t>
      </w:r>
    </w:p>
    <w:p>
      <w:pPr>
        <w:pStyle w:val="3"/>
        <w:spacing w:after="0" w:line="600" w:lineRule="exact"/>
        <w:ind w:left="0" w:leftChars="0" w:firstLine="880"/>
        <w:jc w:val="left"/>
        <w:rPr>
          <w:rFonts w:eastAsia="方正小标宋简体"/>
          <w:sz w:val="44"/>
          <w:szCs w:val="32"/>
        </w:rPr>
      </w:pPr>
    </w:p>
    <w:p>
      <w:pPr>
        <w:pStyle w:val="3"/>
        <w:spacing w:after="0" w:line="600" w:lineRule="exact"/>
        <w:ind w:left="0" w:leftChars="0" w:firstLine="880"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/>
          <w:sz w:val="44"/>
          <w:szCs w:val="32"/>
        </w:rPr>
        <w:t>2022年国家高新区工作总结</w:t>
      </w:r>
    </w:p>
    <w:p>
      <w:pPr>
        <w:spacing w:line="600" w:lineRule="exact"/>
        <w:ind w:firstLine="640"/>
        <w:jc w:val="center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（参考提纲）</w:t>
      </w:r>
    </w:p>
    <w:p>
      <w:pPr>
        <w:pStyle w:val="3"/>
        <w:ind w:firstLine="560"/>
      </w:pPr>
    </w:p>
    <w:p>
      <w:pPr>
        <w:pStyle w:val="3"/>
        <w:numPr>
          <w:ilvl w:val="0"/>
          <w:numId w:val="1"/>
        </w:numPr>
        <w:spacing w:after="0" w:line="520" w:lineRule="exact"/>
        <w:ind w:left="0" w:leftChars="0" w:firstLine="0" w:firstLineChars="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2022年高新区总体发展与重点工作推进情况</w:t>
      </w:r>
    </w:p>
    <w:p>
      <w:pPr>
        <w:pStyle w:val="3"/>
        <w:spacing w:after="0" w:line="520" w:lineRule="exact"/>
        <w:ind w:left="0" w:leftChars="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（一）创新发展总体情况</w:t>
      </w:r>
    </w:p>
    <w:p>
      <w:pPr>
        <w:pStyle w:val="3"/>
        <w:spacing w:after="0" w:line="520" w:lineRule="exact"/>
        <w:ind w:left="0" w:leftChars="0" w:firstLine="640"/>
        <w:rPr>
          <w:sz w:val="32"/>
          <w:szCs w:val="32"/>
        </w:rPr>
      </w:pPr>
      <w:r>
        <w:rPr>
          <w:sz w:val="32"/>
          <w:szCs w:val="32"/>
        </w:rPr>
        <w:t>1.重大创新创业主体或载体建设情况</w:t>
      </w:r>
      <w:r>
        <w:rPr>
          <w:rFonts w:eastAsia="楷体_GB2312"/>
          <w:szCs w:val="28"/>
        </w:rPr>
        <w:t>（包括重大科学装置、重点实验室、科研院所与研发机构、科技型领军企业的建设、发展与运营情况，依托主导产业建设重大科技创新平台情况、龙头企业牵头建设创新联合体情况等</w:t>
      </w:r>
      <w:r>
        <w:rPr>
          <w:sz w:val="32"/>
          <w:szCs w:val="32"/>
        </w:rPr>
        <w:t>）</w:t>
      </w:r>
    </w:p>
    <w:p>
      <w:pPr>
        <w:pStyle w:val="3"/>
        <w:spacing w:after="0" w:line="520" w:lineRule="exact"/>
        <w:ind w:left="0" w:leftChars="0" w:firstLine="640"/>
        <w:rPr>
          <w:sz w:val="32"/>
          <w:szCs w:val="32"/>
        </w:rPr>
      </w:pPr>
      <w:r>
        <w:rPr>
          <w:sz w:val="32"/>
          <w:szCs w:val="32"/>
        </w:rPr>
        <w:t>2.关键核心技术突破</w:t>
      </w:r>
      <w:r>
        <w:rPr>
          <w:rFonts w:eastAsia="楷体_GB2312"/>
          <w:szCs w:val="28"/>
        </w:rPr>
        <w:t>（年度内取得的实现国际领先或填补国内空白且具有一定影响力，如重要媒体报道、获得表彰等的重要技术突破，“卡脖子”关键核心技术突破</w:t>
      </w:r>
      <w:r>
        <w:rPr>
          <w:sz w:val="32"/>
          <w:szCs w:val="32"/>
        </w:rPr>
        <w:t>）</w:t>
      </w:r>
    </w:p>
    <w:p>
      <w:pPr>
        <w:pStyle w:val="3"/>
        <w:spacing w:after="0" w:line="520" w:lineRule="exact"/>
        <w:ind w:left="0" w:leftChars="0" w:firstLine="640"/>
        <w:rPr>
          <w:rFonts w:eastAsia="楷体_GB2312"/>
          <w:szCs w:val="28"/>
        </w:rPr>
      </w:pPr>
      <w:r>
        <w:rPr>
          <w:sz w:val="32"/>
          <w:szCs w:val="32"/>
        </w:rPr>
        <w:t>3.技术研发情况</w:t>
      </w:r>
      <w:r>
        <w:rPr>
          <w:rFonts w:eastAsia="楷体_GB2312"/>
          <w:szCs w:val="28"/>
        </w:rPr>
        <w:t>（研发活动相关指标与增速、取得的专利与标准情况、科技成果转化情况等）</w:t>
      </w:r>
    </w:p>
    <w:p>
      <w:pPr>
        <w:pStyle w:val="3"/>
        <w:spacing w:after="0" w:line="520" w:lineRule="exact"/>
        <w:ind w:left="0" w:leftChars="0" w:firstLine="640"/>
        <w:rPr>
          <w:rFonts w:eastAsia="楷体_GB2312"/>
          <w:szCs w:val="28"/>
        </w:rPr>
      </w:pPr>
      <w:r>
        <w:rPr>
          <w:sz w:val="32"/>
          <w:szCs w:val="32"/>
        </w:rPr>
        <w:t>4.创新创业环境建设情况</w:t>
      </w:r>
      <w:r>
        <w:rPr>
          <w:rFonts w:eastAsia="楷体_GB2312"/>
          <w:szCs w:val="28"/>
        </w:rPr>
        <w:t>（包括科技型企业的孵化成长情况、年度开展的主要创新创业活动情况，科技创新链条优化完善情况，优化完善创新创业服务体系及创新创业生态环境等）</w:t>
      </w:r>
    </w:p>
    <w:p>
      <w:pPr>
        <w:pStyle w:val="3"/>
        <w:spacing w:after="0" w:line="520" w:lineRule="exact"/>
        <w:ind w:left="0" w:leftChars="0" w:firstLine="640"/>
        <w:rPr>
          <w:rFonts w:eastAsia="楷体_GB2312"/>
          <w:szCs w:val="28"/>
        </w:rPr>
      </w:pPr>
      <w:r>
        <w:rPr>
          <w:sz w:val="32"/>
          <w:szCs w:val="32"/>
        </w:rPr>
        <w:t>5.产业发展成效</w:t>
      </w:r>
      <w:r>
        <w:rPr>
          <w:rFonts w:eastAsia="楷体_GB2312"/>
          <w:szCs w:val="28"/>
        </w:rPr>
        <w:t>（包括主导产业与特色产业情况，产业质量效益提升情况，当年实际投资额20亿元及以上的重大项目建设情况、新兴产业、未来产业培育情况，重点企业引育情况，产业链供应链上下游建设情况、产业应用场景建设等）</w:t>
      </w:r>
    </w:p>
    <w:p>
      <w:pPr>
        <w:pStyle w:val="3"/>
        <w:spacing w:after="0" w:line="520" w:lineRule="exact"/>
        <w:ind w:left="0" w:leftChars="0" w:firstLine="640"/>
        <w:rPr>
          <w:rFonts w:eastAsia="楷体_GB2312"/>
          <w:szCs w:val="28"/>
        </w:rPr>
      </w:pPr>
      <w:r>
        <w:rPr>
          <w:sz w:val="32"/>
          <w:szCs w:val="32"/>
        </w:rPr>
        <w:t>6.人才发展情况</w:t>
      </w:r>
      <w:r>
        <w:rPr>
          <w:rFonts w:eastAsia="楷体_GB2312"/>
          <w:szCs w:val="28"/>
        </w:rPr>
        <w:t>（包括吸纳高水平就业、重点人才与团队的引进与建设情况、重大人才奖励获得情况等）</w:t>
      </w:r>
    </w:p>
    <w:p>
      <w:pPr>
        <w:pStyle w:val="3"/>
        <w:spacing w:after="0" w:line="520" w:lineRule="exact"/>
        <w:ind w:left="0" w:leftChars="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（二）区域协同与高水平开放</w:t>
      </w:r>
    </w:p>
    <w:p>
      <w:pPr>
        <w:pStyle w:val="3"/>
        <w:spacing w:after="0" w:line="520" w:lineRule="exact"/>
        <w:ind w:left="0" w:leftChars="0" w:firstLine="640"/>
        <w:rPr>
          <w:rFonts w:eastAsia="楷体_GB2312"/>
          <w:szCs w:val="28"/>
        </w:rPr>
      </w:pPr>
      <w:r>
        <w:rPr>
          <w:sz w:val="32"/>
          <w:szCs w:val="32"/>
        </w:rPr>
        <w:t>1.区域协同与带动情况</w:t>
      </w:r>
      <w:r>
        <w:rPr>
          <w:rFonts w:eastAsia="楷体_GB2312"/>
          <w:szCs w:val="28"/>
        </w:rPr>
        <w:t>（包括参与重大区域发展战略和区域协调发展战略、乡村振兴战略、东西合作、南北互动等跨区域合作情况，与其他国家高新区合作情况，在本地区引领示范情况等）</w:t>
      </w:r>
    </w:p>
    <w:p>
      <w:pPr>
        <w:pStyle w:val="3"/>
        <w:spacing w:after="0" w:line="520" w:lineRule="exact"/>
        <w:ind w:left="0" w:leftChars="0" w:firstLine="640"/>
        <w:rPr>
          <w:sz w:val="32"/>
          <w:szCs w:val="32"/>
        </w:rPr>
      </w:pPr>
      <w:r>
        <w:rPr>
          <w:sz w:val="32"/>
          <w:szCs w:val="32"/>
        </w:rPr>
        <w:t>2.产学研用协同创新情况（</w:t>
      </w:r>
      <w:r>
        <w:rPr>
          <w:rFonts w:eastAsia="楷体_GB2312"/>
          <w:szCs w:val="28"/>
        </w:rPr>
        <w:t>包括推动企业、高校院所、政府和相关服务机构等创新主体协同创新，强化各类创新要素高效配置，围绕共性关键技术和“卡脖子”技术开展协同攻关和成果转移转化，推动创新链产业链资金链人才链深度融合等</w:t>
      </w:r>
      <w:r>
        <w:rPr>
          <w:sz w:val="32"/>
          <w:szCs w:val="32"/>
        </w:rPr>
        <w:t>）</w:t>
      </w:r>
    </w:p>
    <w:p>
      <w:pPr>
        <w:pStyle w:val="3"/>
        <w:spacing w:after="0" w:line="520" w:lineRule="exact"/>
        <w:ind w:left="0" w:leftChars="0" w:firstLine="640"/>
        <w:rPr>
          <w:sz w:val="32"/>
          <w:szCs w:val="32"/>
        </w:rPr>
      </w:pPr>
      <w:r>
        <w:rPr>
          <w:sz w:val="32"/>
          <w:szCs w:val="32"/>
        </w:rPr>
        <w:t>3.园区对外开放合作情况</w:t>
      </w:r>
      <w:r>
        <w:rPr>
          <w:rFonts w:eastAsia="楷体_GB2312"/>
          <w:szCs w:val="28"/>
        </w:rPr>
        <w:t>（包括国际人才与队伍建设情况、国际交流合作情况、园区企业国际化，参与“一带一路”国际科技合作等）</w:t>
      </w:r>
    </w:p>
    <w:p>
      <w:pPr>
        <w:pStyle w:val="3"/>
        <w:spacing w:after="0" w:line="520" w:lineRule="exact"/>
        <w:ind w:left="0" w:leftChars="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（三）体制机制改革与营商环境建设</w:t>
      </w:r>
    </w:p>
    <w:p>
      <w:pPr>
        <w:pStyle w:val="3"/>
        <w:spacing w:after="0" w:line="520" w:lineRule="exact"/>
        <w:ind w:left="0" w:leftChars="0" w:firstLine="640"/>
        <w:rPr>
          <w:sz w:val="32"/>
          <w:szCs w:val="32"/>
        </w:rPr>
      </w:pPr>
      <w:r>
        <w:rPr>
          <w:sz w:val="32"/>
          <w:szCs w:val="32"/>
        </w:rPr>
        <w:t>1.体制机制改革与政策先行先试</w:t>
      </w:r>
      <w:r>
        <w:rPr>
          <w:rFonts w:eastAsia="楷体_GB2312"/>
          <w:szCs w:val="28"/>
        </w:rPr>
        <w:t>（包括强化地方政府在高新区建设中的主体责任，高新区在机构设置、人员编制、选人用人等方面深化体制机制改革情况，以及推进“放管服”改革等方面工作的做法和成效，高新区年度制定的先行先试政策创新情况等）</w:t>
      </w:r>
    </w:p>
    <w:p>
      <w:pPr>
        <w:pStyle w:val="3"/>
        <w:spacing w:after="0" w:line="520" w:lineRule="exact"/>
        <w:ind w:left="0" w:leftChars="0" w:firstLine="640"/>
        <w:rPr>
          <w:sz w:val="32"/>
          <w:szCs w:val="32"/>
        </w:rPr>
      </w:pPr>
      <w:r>
        <w:rPr>
          <w:sz w:val="32"/>
          <w:szCs w:val="32"/>
        </w:rPr>
        <w:t>2.区域位势与地方支持</w:t>
      </w:r>
      <w:r>
        <w:rPr>
          <w:rFonts w:eastAsia="楷体_GB2312"/>
          <w:szCs w:val="28"/>
        </w:rPr>
        <w:t>（园区在所在地区位势情况，如主要指标、重大项目占全地区的比例等，省、市一级对高新区改革或政策支持情况等）</w:t>
      </w:r>
    </w:p>
    <w:p>
      <w:pPr>
        <w:pStyle w:val="3"/>
        <w:spacing w:after="0" w:line="520" w:lineRule="exact"/>
        <w:ind w:left="0" w:leftChars="0" w:firstLine="640"/>
        <w:rPr>
          <w:rFonts w:eastAsia="楷体_GB2312"/>
          <w:szCs w:val="28"/>
        </w:rPr>
      </w:pPr>
      <w:r>
        <w:rPr>
          <w:sz w:val="32"/>
          <w:szCs w:val="32"/>
        </w:rPr>
        <w:t>3.</w:t>
      </w:r>
      <w:r>
        <w:rPr>
          <w:rFonts w:eastAsia="楷体_GB2312"/>
          <w:sz w:val="32"/>
          <w:szCs w:val="32"/>
        </w:rPr>
        <w:t>营商</w:t>
      </w:r>
      <w:r>
        <w:rPr>
          <w:sz w:val="32"/>
          <w:szCs w:val="32"/>
        </w:rPr>
        <w:t>环境建设情况</w:t>
      </w:r>
      <w:r>
        <w:rPr>
          <w:rFonts w:eastAsia="楷体_GB2312"/>
          <w:szCs w:val="28"/>
        </w:rPr>
        <w:t>（包括深化“放管服”改革情况、科技金融发展情况、知识产权环境建设情况等）</w:t>
      </w:r>
    </w:p>
    <w:p>
      <w:pPr>
        <w:pStyle w:val="3"/>
        <w:spacing w:after="0" w:line="520" w:lineRule="exact"/>
        <w:ind w:left="0" w:leftChars="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（四）安全、绿色、可持续发展</w:t>
      </w:r>
    </w:p>
    <w:p>
      <w:pPr>
        <w:pStyle w:val="3"/>
        <w:spacing w:after="0" w:line="520" w:lineRule="exact"/>
        <w:ind w:left="0" w:leftChars="0" w:firstLine="640"/>
        <w:rPr>
          <w:sz w:val="32"/>
          <w:szCs w:val="32"/>
        </w:rPr>
      </w:pPr>
      <w:r>
        <w:rPr>
          <w:sz w:val="32"/>
          <w:szCs w:val="32"/>
        </w:rPr>
        <w:t>1.安全生产工作情况</w:t>
      </w:r>
      <w:r>
        <w:rPr>
          <w:rFonts w:eastAsia="楷体_GB2312"/>
          <w:szCs w:val="28"/>
        </w:rPr>
        <w:t>（包括重点开展的安全生产会议、活动等，形成的先进做法和工作亮点，年度内是否发生安全生产事故等）</w:t>
      </w:r>
    </w:p>
    <w:p>
      <w:pPr>
        <w:pStyle w:val="3"/>
        <w:spacing w:after="0" w:line="520" w:lineRule="exact"/>
        <w:ind w:left="0" w:leftChars="0" w:firstLine="640"/>
        <w:rPr>
          <w:sz w:val="32"/>
          <w:szCs w:val="32"/>
        </w:rPr>
      </w:pPr>
      <w:r>
        <w:rPr>
          <w:sz w:val="32"/>
          <w:szCs w:val="32"/>
        </w:rPr>
        <w:t>2.园区绿色发展情况</w:t>
      </w:r>
      <w:r>
        <w:rPr>
          <w:rFonts w:eastAsia="楷体_GB2312"/>
          <w:szCs w:val="28"/>
        </w:rPr>
        <w:t>（</w:t>
      </w:r>
      <w:r>
        <w:rPr>
          <w:rFonts w:eastAsia="楷体_GB2312"/>
          <w:spacing w:val="-2"/>
          <w:szCs w:val="28"/>
        </w:rPr>
        <w:t>包括推进碳达峰碳中和情况，绿色低碳产业发展布局、技术创新、基础设施建设，</w:t>
      </w:r>
      <w:r>
        <w:rPr>
          <w:rFonts w:hint="eastAsia" w:eastAsia="楷体_GB2312"/>
          <w:spacing w:val="-2"/>
          <w:szCs w:val="28"/>
        </w:rPr>
        <w:t>绿色</w:t>
      </w:r>
      <w:r>
        <w:rPr>
          <w:rFonts w:eastAsia="楷体_GB2312"/>
          <w:spacing w:val="-2"/>
          <w:szCs w:val="28"/>
        </w:rPr>
        <w:t>产品、绿色工厂、绿色供应链、</w:t>
      </w:r>
      <w:r>
        <w:rPr>
          <w:rFonts w:hint="eastAsia" w:eastAsia="楷体_GB2312"/>
          <w:spacing w:val="-2"/>
          <w:szCs w:val="28"/>
        </w:rPr>
        <w:t>绿色</w:t>
      </w:r>
      <w:r>
        <w:rPr>
          <w:rFonts w:eastAsia="楷体_GB2312"/>
          <w:spacing w:val="-2"/>
          <w:szCs w:val="28"/>
        </w:rPr>
        <w:t>园区等建设培育情况，绿色低碳领域的项目与工程，落实“国家高新区绿色发展专项行动实施方案”情况</w:t>
      </w:r>
      <w:r>
        <w:rPr>
          <w:rFonts w:eastAsia="楷体_GB2312"/>
          <w:szCs w:val="28"/>
        </w:rPr>
        <w:t>）</w:t>
      </w:r>
    </w:p>
    <w:p>
      <w:pPr>
        <w:pStyle w:val="3"/>
        <w:spacing w:after="0" w:line="520" w:lineRule="exact"/>
        <w:ind w:left="0" w:leftChars="0" w:firstLine="640"/>
        <w:rPr>
          <w:sz w:val="32"/>
          <w:szCs w:val="32"/>
        </w:rPr>
      </w:pPr>
      <w:r>
        <w:rPr>
          <w:sz w:val="32"/>
          <w:szCs w:val="32"/>
        </w:rPr>
        <w:t>3.产城融合建设情况</w:t>
      </w:r>
      <w:r>
        <w:rPr>
          <w:rFonts w:eastAsia="楷体_GB2312"/>
          <w:szCs w:val="28"/>
        </w:rPr>
        <w:t>（包括城市配套公共服务设施、数字园区建设情况，打造生态环保与宜居宜业宜创科技新城情况等）</w:t>
      </w:r>
    </w:p>
    <w:p>
      <w:pPr>
        <w:pStyle w:val="3"/>
        <w:spacing w:after="0" w:line="520" w:lineRule="exact"/>
        <w:ind w:left="0" w:leftChars="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（五）党建引领与党风廉政建设情况</w:t>
      </w:r>
    </w:p>
    <w:p>
      <w:pPr>
        <w:pStyle w:val="3"/>
        <w:spacing w:after="0" w:line="520" w:lineRule="exact"/>
        <w:ind w:left="0" w:leftChars="0" w:firstLine="560"/>
        <w:rPr>
          <w:rFonts w:eastAsia="楷体_GB2312"/>
          <w:szCs w:val="28"/>
        </w:rPr>
      </w:pPr>
      <w:r>
        <w:rPr>
          <w:rFonts w:eastAsia="楷体_GB2312"/>
          <w:szCs w:val="28"/>
        </w:rPr>
        <w:t>（包括高新区贯彻落实党的二十大精神情况，高新区、区内企业党建工作及党风廉政建设情况，特色党建活动，如党建联盟等开展情况，年度内是否有管委会领导班子成员接受纪检部门调查等情况）</w:t>
      </w:r>
    </w:p>
    <w:p>
      <w:pPr>
        <w:pStyle w:val="3"/>
        <w:numPr>
          <w:ilvl w:val="0"/>
          <w:numId w:val="1"/>
        </w:numPr>
        <w:spacing w:after="0" w:line="520" w:lineRule="exact"/>
        <w:ind w:left="0" w:leftChars="0" w:firstLine="0" w:firstLineChars="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2023年高新区工作要点</w:t>
      </w:r>
    </w:p>
    <w:p>
      <w:pPr>
        <w:pStyle w:val="3"/>
        <w:spacing w:after="0" w:line="520" w:lineRule="exact"/>
        <w:ind w:left="0" w:leftChars="0" w:firstLine="640"/>
        <w:rPr>
          <w:sz w:val="32"/>
          <w:szCs w:val="32"/>
        </w:rPr>
      </w:pPr>
      <w:r>
        <w:rPr>
          <w:sz w:val="32"/>
          <w:szCs w:val="32"/>
        </w:rPr>
        <w:t>以习近平新时代中国特色社会主义思想为指导，深入学习贯彻党的二十大精神，结合高新区实际，制定2023年工作思路、主要目标和有针对性的重点任务。</w:t>
      </w:r>
    </w:p>
    <w:p>
      <w:pPr>
        <w:pStyle w:val="3"/>
        <w:numPr>
          <w:ilvl w:val="0"/>
          <w:numId w:val="1"/>
        </w:numPr>
        <w:spacing w:after="0" w:line="520" w:lineRule="exact"/>
        <w:ind w:left="0" w:leftChars="0" w:firstLine="0" w:firstLineChars="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高新区特色工作专项总结（如有，请提供）</w:t>
      </w:r>
    </w:p>
    <w:p>
      <w:pPr>
        <w:pStyle w:val="3"/>
        <w:spacing w:after="0" w:line="520" w:lineRule="exact"/>
        <w:ind w:left="0" w:leftChars="0" w:firstLine="640"/>
        <w:rPr>
          <w:sz w:val="32"/>
          <w:szCs w:val="32"/>
        </w:rPr>
      </w:pPr>
      <w:r>
        <w:rPr>
          <w:sz w:val="32"/>
          <w:szCs w:val="32"/>
        </w:rPr>
        <w:t>请各高新区结合前述内容，选取2022年度重点推进、成效显著、最能体现本园区特色和工作水平的重点工作报送专项总结材料，如体制机制创新、政策先行先试、关键核心技术突破、重大科技创新平台建设、推进碳达峰碳中和等，也可以是省级以上试点的专项工作总结。每家高新区原则上报送不超过2项。具体内容包括：摘要（100字左右）、背景情况、主要做法和工作成效等。</w:t>
      </w:r>
    </w:p>
    <w:p>
      <w:pPr>
        <w:pStyle w:val="3"/>
        <w:spacing w:after="0" w:line="520" w:lineRule="exact"/>
        <w:ind w:left="0" w:leftChars="0" w:firstLine="640"/>
        <w:rPr>
          <w:sz w:val="32"/>
          <w:szCs w:val="32"/>
        </w:rPr>
      </w:pPr>
    </w:p>
    <w:p>
      <w:pPr>
        <w:pStyle w:val="3"/>
        <w:spacing w:after="0" w:line="520" w:lineRule="exact"/>
        <w:ind w:left="0" w:leftChars="0" w:firstLine="640"/>
        <w:rPr>
          <w:sz w:val="32"/>
          <w:szCs w:val="32"/>
        </w:rPr>
      </w:pPr>
    </w:p>
    <w:p>
      <w:pPr>
        <w:pStyle w:val="3"/>
        <w:spacing w:line="520" w:lineRule="exact"/>
        <w:ind w:right="640" w:firstLine="6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B1EF9"/>
    <w:multiLevelType w:val="singleLevel"/>
    <w:tmpl w:val="4B6B1E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zg5NGZiMzhhOGQwYWQyY2M2ODg5MWZkMzFjZTMifQ=="/>
  </w:docVars>
  <w:rsids>
    <w:rsidRoot w:val="42B97AAE"/>
    <w:rsid w:val="42B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2023-03-31T06:55:00Z</dcterms:created>
  <dc:creator>春暖花开</dc:creator>
  <cp:lastModifiedBy>春暖花开</cp:lastModifiedBy>
  <dcterms:modified xsi:type="dcterms:W3CDTF">2023-03-31T06:56:07Z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9D895AE878D14BDDB9A6F32D7EA79CBD</vt:lpwstr>
  </property>
</Properties>
</file>